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EB45" w14:textId="77777777" w:rsidR="00501D43" w:rsidRPr="00501D43" w:rsidRDefault="00501D43" w:rsidP="00501D43">
      <w:pPr>
        <w:pStyle w:val="Heading2"/>
        <w:rPr>
          <w:rStyle w:val="view"/>
          <w:rFonts w:cs="Calibri"/>
          <w:color w:val="000000" w:themeColor="text1"/>
          <w:sz w:val="36"/>
          <w:szCs w:val="36"/>
        </w:rPr>
      </w:pPr>
      <w:r w:rsidRPr="00501D43">
        <w:rPr>
          <w:sz w:val="24"/>
          <w:szCs w:val="24"/>
        </w:rPr>
        <w:t>COMMISSION SCHEME POLICY</w:t>
      </w:r>
    </w:p>
    <w:p w14:paraId="65056BCA" w14:textId="77777777" w:rsidR="00501D43" w:rsidRPr="00501D43" w:rsidRDefault="00501D43" w:rsidP="00501D43">
      <w:pPr>
        <w:pStyle w:val="NormalWeb"/>
        <w:shd w:val="clear" w:color="auto" w:fill="FFFFFF"/>
        <w:spacing w:line="360" w:lineRule="auto"/>
        <w:jc w:val="both"/>
        <w:rPr>
          <w:rFonts w:ascii="Avenir Book" w:hAnsi="Avenir Book" w:cs="Calibri"/>
          <w:color w:val="000000" w:themeColor="text1"/>
          <w:sz w:val="24"/>
          <w:szCs w:val="24"/>
        </w:rPr>
      </w:pPr>
      <w:r w:rsidRPr="00501D43">
        <w:rPr>
          <w:rFonts w:ascii="Avenir Book" w:hAnsi="Avenir Book" w:cs="Calibri"/>
          <w:color w:val="000000" w:themeColor="text1"/>
          <w:sz w:val="24"/>
          <w:szCs w:val="24"/>
        </w:rPr>
        <w:t>This policy contains details of the</w:t>
      </w:r>
      <w:r w:rsidRPr="00501D43">
        <w:rPr>
          <w:rFonts w:ascii="Avenir Book" w:hAnsi="Avenir Book"/>
          <w:b/>
          <w:color w:val="00B0F0"/>
          <w:sz w:val="24"/>
          <w:szCs w:val="24"/>
        </w:rPr>
        <w:t xml:space="preserve"> Company Name</w:t>
      </w:r>
      <w:r w:rsidRPr="00501D43">
        <w:rPr>
          <w:rFonts w:ascii="Avenir Book" w:hAnsi="Avenir Book"/>
          <w:color w:val="00B0F0"/>
          <w:sz w:val="24"/>
          <w:szCs w:val="24"/>
        </w:rPr>
        <w:t> </w:t>
      </w:r>
      <w:r w:rsidRPr="00501D43">
        <w:rPr>
          <w:rFonts w:ascii="Avenir Book" w:hAnsi="Avenir Book"/>
          <w:color w:val="333333"/>
          <w:sz w:val="24"/>
          <w:szCs w:val="24"/>
        </w:rPr>
        <w:t>(“</w:t>
      </w:r>
      <w:r w:rsidRPr="00501D43">
        <w:rPr>
          <w:rFonts w:ascii="Avenir Book" w:hAnsi="Avenir Book"/>
          <w:b/>
          <w:color w:val="333333"/>
          <w:sz w:val="24"/>
          <w:szCs w:val="24"/>
        </w:rPr>
        <w:t>the Company</w:t>
      </w:r>
      <w:r w:rsidRPr="00501D43">
        <w:rPr>
          <w:rFonts w:ascii="Avenir Book" w:hAnsi="Avenir Book"/>
          <w:color w:val="333333"/>
          <w:sz w:val="24"/>
          <w:szCs w:val="24"/>
        </w:rPr>
        <w:t xml:space="preserve">”)’s </w:t>
      </w:r>
      <w:r w:rsidRPr="00501D43">
        <w:rPr>
          <w:rFonts w:ascii="Avenir Book" w:hAnsi="Avenir Book" w:cs="Calibri"/>
          <w:color w:val="000000" w:themeColor="text1"/>
          <w:sz w:val="24"/>
          <w:szCs w:val="24"/>
        </w:rPr>
        <w:t xml:space="preserve">Commission Scheme. We value the contribution you make to our business and believe you should be rewarded for good results and share in our </w:t>
      </w:r>
      <w:proofErr w:type="gramStart"/>
      <w:r w:rsidRPr="00501D43">
        <w:rPr>
          <w:rFonts w:ascii="Avenir Book" w:hAnsi="Avenir Book" w:cs="Calibri"/>
          <w:color w:val="000000" w:themeColor="text1"/>
          <w:sz w:val="24"/>
          <w:szCs w:val="24"/>
        </w:rPr>
        <w:t>success,</w:t>
      </w:r>
      <w:proofErr w:type="gramEnd"/>
      <w:r w:rsidRPr="00501D43">
        <w:rPr>
          <w:rFonts w:ascii="Avenir Book" w:hAnsi="Avenir Book" w:cs="Calibri"/>
          <w:color w:val="000000" w:themeColor="text1"/>
          <w:sz w:val="24"/>
          <w:szCs w:val="24"/>
        </w:rPr>
        <w:t xml:space="preserve"> this is why we choose to implement this Commission Scheme.</w:t>
      </w:r>
    </w:p>
    <w:p w14:paraId="1C05074A" w14:textId="77777777" w:rsidR="00501D43" w:rsidRPr="00501D43" w:rsidRDefault="00501D43" w:rsidP="00501D43">
      <w:pPr>
        <w:pStyle w:val="Heading3"/>
        <w:rPr>
          <w:sz w:val="24"/>
          <w:szCs w:val="24"/>
        </w:rPr>
      </w:pPr>
      <w:r w:rsidRPr="00501D43">
        <w:rPr>
          <w:sz w:val="24"/>
          <w:szCs w:val="24"/>
        </w:rPr>
        <w:t>OPERATION</w:t>
      </w:r>
    </w:p>
    <w:p w14:paraId="0CEFA340" w14:textId="5DCD9E5A" w:rsidR="00501D43" w:rsidRPr="00501D43" w:rsidRDefault="00501D43" w:rsidP="00501D43">
      <w:pPr>
        <w:pStyle w:val="NormalWeb"/>
        <w:shd w:val="clear" w:color="auto" w:fill="FFFFFF"/>
        <w:spacing w:line="360" w:lineRule="auto"/>
        <w:jc w:val="both"/>
        <w:rPr>
          <w:rFonts w:ascii="Avenir Book" w:hAnsi="Avenir Book" w:cs="Calibri"/>
          <w:color w:val="000000" w:themeColor="text1"/>
          <w:sz w:val="24"/>
          <w:szCs w:val="24"/>
        </w:rPr>
      </w:pPr>
      <w:r w:rsidRPr="00501D43">
        <w:rPr>
          <w:rFonts w:ascii="Avenir Book" w:hAnsi="Avenir Book" w:cs="Calibri"/>
          <w:color w:val="000000" w:themeColor="text1"/>
          <w:sz w:val="24"/>
          <w:szCs w:val="24"/>
        </w:rPr>
        <w:t>The Commission Scheme does not form a part of any employee’s contractual rights. Payment of any commissions are at the discretion of the Company and will only be paid if all other aspects of your work at the Company are satisfactory. Commission payments may also be affected by the financial situation of the Company and whether you have given notice or been provided notice of termination of employment.</w:t>
      </w:r>
      <w:r>
        <w:rPr>
          <w:rFonts w:ascii="Avenir Book" w:hAnsi="Avenir Book" w:cs="Calibri"/>
          <w:color w:val="000000" w:themeColor="text1"/>
          <w:sz w:val="24"/>
          <w:szCs w:val="24"/>
        </w:rPr>
        <w:t xml:space="preserve"> </w:t>
      </w:r>
      <w:r w:rsidRPr="00501D43">
        <w:rPr>
          <w:rFonts w:ascii="Avenir Book" w:hAnsi="Avenir Book" w:cs="Calibri"/>
          <w:color w:val="000000" w:themeColor="text1"/>
          <w:sz w:val="24"/>
          <w:szCs w:val="24"/>
        </w:rPr>
        <w:t>The Company may amend or withdraw this Commission Scheme at any time.</w:t>
      </w:r>
    </w:p>
    <w:p w14:paraId="605695F4" w14:textId="77777777" w:rsidR="00501D43" w:rsidRPr="00501D43" w:rsidRDefault="00501D43" w:rsidP="00501D43">
      <w:pPr>
        <w:pStyle w:val="paragraph"/>
        <w:spacing w:before="0" w:beforeAutospacing="0" w:after="0" w:afterAutospacing="0" w:line="360" w:lineRule="auto"/>
        <w:jc w:val="both"/>
        <w:textAlignment w:val="baseline"/>
        <w:rPr>
          <w:rStyle w:val="normaltextrun"/>
          <w:rFonts w:ascii="Avenir Book" w:hAnsi="Avenir Book" w:cs="Calibri"/>
          <w:color w:val="000000" w:themeColor="text1"/>
        </w:rPr>
      </w:pPr>
      <w:r w:rsidRPr="00501D43">
        <w:rPr>
          <w:rStyle w:val="Heading3Char"/>
          <w:sz w:val="24"/>
          <w:szCs w:val="24"/>
        </w:rPr>
        <w:t>DETAILS OF COMMISSION SCHEME</w:t>
      </w:r>
      <w:r w:rsidRPr="00501D43">
        <w:rPr>
          <w:rStyle w:val="normaltextrun"/>
          <w:rFonts w:ascii="Avenir Book" w:hAnsi="Avenir Book" w:cs="Calibri"/>
          <w:color w:val="000000" w:themeColor="text1"/>
          <w:sz w:val="36"/>
          <w:szCs w:val="36"/>
        </w:rPr>
        <w:t xml:space="preserve"> </w:t>
      </w:r>
      <w:r w:rsidRPr="00501D43">
        <w:rPr>
          <w:rStyle w:val="normaltextrun"/>
          <w:rFonts w:ascii="Avenir Book" w:hAnsi="Avenir Book" w:cs="Calibri"/>
          <w:color w:val="000000" w:themeColor="text1"/>
          <w:highlight w:val="yellow"/>
        </w:rPr>
        <w:t>[Amend as appropriate]</w:t>
      </w:r>
      <w:r w:rsidRPr="00501D43">
        <w:rPr>
          <w:rStyle w:val="normaltextrun"/>
          <w:rFonts w:ascii="Avenir Book" w:hAnsi="Avenir Book" w:cs="Calibri"/>
          <w:color w:val="000000" w:themeColor="text1"/>
        </w:rPr>
        <w:t xml:space="preserve"> </w:t>
      </w:r>
    </w:p>
    <w:p w14:paraId="74C3AB52" w14:textId="77777777" w:rsidR="00501D43" w:rsidRPr="00501D43" w:rsidRDefault="00501D43" w:rsidP="00501D43">
      <w:pPr>
        <w:pStyle w:val="paragraph"/>
        <w:spacing w:before="0" w:beforeAutospacing="0" w:after="0" w:afterAutospacing="0" w:line="360" w:lineRule="auto"/>
        <w:jc w:val="both"/>
        <w:textAlignment w:val="baseline"/>
        <w:rPr>
          <w:rStyle w:val="eop"/>
          <w:rFonts w:ascii="Avenir Book" w:hAnsi="Avenir Book" w:cs="Calibri"/>
          <w:color w:val="000000" w:themeColor="text1"/>
        </w:rPr>
      </w:pPr>
      <w:r w:rsidRPr="00501D43">
        <w:rPr>
          <w:rStyle w:val="normaltextrun"/>
          <w:rFonts w:ascii="Avenir Book" w:hAnsi="Avenir Book" w:cs="Calibri"/>
          <w:color w:val="000000" w:themeColor="text1"/>
        </w:rPr>
        <w:t xml:space="preserve">Employees will receive a guaranteed base </w:t>
      </w:r>
      <w:proofErr w:type="gramStart"/>
      <w:r w:rsidRPr="00501D43">
        <w:rPr>
          <w:rStyle w:val="normaltextrun"/>
          <w:rFonts w:ascii="Avenir Book" w:hAnsi="Avenir Book" w:cs="Calibri"/>
          <w:color w:val="000000" w:themeColor="text1"/>
        </w:rPr>
        <w:t>salary,</w:t>
      </w:r>
      <w:proofErr w:type="gramEnd"/>
      <w:r w:rsidRPr="00501D43">
        <w:rPr>
          <w:rStyle w:val="normaltextrun"/>
          <w:rFonts w:ascii="Avenir Book" w:hAnsi="Avenir Book" w:cs="Calibri"/>
          <w:color w:val="000000" w:themeColor="text1"/>
        </w:rPr>
        <w:t xml:space="preserve"> all employees will have their base salary guaranteed as a minimum. </w:t>
      </w:r>
    </w:p>
    <w:p w14:paraId="6C01AB0D" w14:textId="77777777" w:rsidR="00501D43" w:rsidRPr="00501D43" w:rsidRDefault="00501D43" w:rsidP="00501D43">
      <w:pPr>
        <w:pStyle w:val="paragraph"/>
        <w:spacing w:before="0" w:beforeAutospacing="0" w:after="0" w:afterAutospacing="0" w:line="360" w:lineRule="auto"/>
        <w:jc w:val="both"/>
        <w:textAlignment w:val="baseline"/>
        <w:rPr>
          <w:rStyle w:val="eop"/>
          <w:rFonts w:ascii="Avenir Book" w:hAnsi="Avenir Book" w:cs="Calibri"/>
          <w:color w:val="FF0000"/>
        </w:rPr>
      </w:pPr>
      <w:r w:rsidRPr="00501D43">
        <w:rPr>
          <w:rStyle w:val="normaltextrun"/>
          <w:rFonts w:ascii="Avenir Book" w:hAnsi="Avenir Book" w:cs="Calibri"/>
          <w:color w:val="000000" w:themeColor="text1"/>
          <w:lang w:val="en-US"/>
        </w:rPr>
        <w:t xml:space="preserve">Commission payments are only paid to Employees who are employed </w:t>
      </w:r>
      <w:r w:rsidRPr="00501D43">
        <w:rPr>
          <w:rStyle w:val="normaltextrun"/>
          <w:rFonts w:ascii="Avenir Book" w:hAnsi="Avenir Book" w:cs="Calibri"/>
          <w:color w:val="000000" w:themeColor="text1"/>
          <w:highlight w:val="yellow"/>
          <w:lang w:val="en-US"/>
        </w:rPr>
        <w:t>[and have not given or have been provided with notice of termination]</w:t>
      </w:r>
      <w:r w:rsidRPr="00501D43">
        <w:rPr>
          <w:rStyle w:val="normaltextrun"/>
          <w:rFonts w:ascii="Avenir Book" w:hAnsi="Avenir Book" w:cs="Calibri"/>
          <w:color w:val="000000" w:themeColor="text1"/>
          <w:lang w:val="en-US"/>
        </w:rPr>
        <w:t xml:space="preserve"> by the Company at the time the commissions are paid, this is generally </w:t>
      </w:r>
      <w:r w:rsidRPr="00501D43">
        <w:rPr>
          <w:rStyle w:val="normaltextrun"/>
          <w:rFonts w:ascii="Avenir Book" w:hAnsi="Avenir Book" w:cs="Calibri"/>
          <w:color w:val="000000" w:themeColor="text1"/>
          <w:highlight w:val="yellow"/>
          <w:lang w:val="en-US"/>
        </w:rPr>
        <w:t>[insert details, such as “within four weeks of the end of each financial quarter”].</w:t>
      </w:r>
    </w:p>
    <w:p w14:paraId="4543A0FB" w14:textId="77777777" w:rsidR="00501D43" w:rsidRPr="00501D43" w:rsidRDefault="00501D43" w:rsidP="00501D43">
      <w:pPr>
        <w:pStyle w:val="paragraph"/>
        <w:spacing w:before="0" w:beforeAutospacing="0" w:after="0" w:afterAutospacing="0" w:line="360" w:lineRule="auto"/>
        <w:jc w:val="both"/>
        <w:textAlignment w:val="baseline"/>
        <w:rPr>
          <w:rStyle w:val="normaltextrun"/>
          <w:rFonts w:ascii="Avenir Book" w:hAnsi="Avenir Book" w:cs="Calibri"/>
          <w:color w:val="000000" w:themeColor="text1"/>
          <w:lang w:val="en-US"/>
        </w:rPr>
      </w:pPr>
      <w:r w:rsidRPr="00501D43">
        <w:rPr>
          <w:rStyle w:val="normaltextrun"/>
          <w:rFonts w:ascii="Avenir Book" w:hAnsi="Avenir Book" w:cs="Calibri"/>
          <w:color w:val="000000" w:themeColor="text1"/>
          <w:lang w:val="en-US"/>
        </w:rPr>
        <w:t xml:space="preserve">Commission payments are calculated on a </w:t>
      </w:r>
      <w:r w:rsidRPr="00501D43">
        <w:rPr>
          <w:rStyle w:val="normaltextrun"/>
          <w:rFonts w:ascii="Avenir Book" w:hAnsi="Avenir Book" w:cs="Calibri"/>
          <w:color w:val="000000" w:themeColor="text1"/>
          <w:highlight w:val="yellow"/>
          <w:lang w:val="en-US"/>
        </w:rPr>
        <w:t>[monthly / financial quarterly]</w:t>
      </w:r>
      <w:r w:rsidRPr="00501D43">
        <w:rPr>
          <w:rStyle w:val="normaltextrun"/>
          <w:rFonts w:ascii="Avenir Book" w:hAnsi="Avenir Book" w:cs="Calibri"/>
          <w:color w:val="000000" w:themeColor="text1"/>
          <w:lang w:val="en-US"/>
        </w:rPr>
        <w:t xml:space="preserve"> commission period.</w:t>
      </w:r>
    </w:p>
    <w:p w14:paraId="3249BF4E" w14:textId="77777777" w:rsidR="00501D43" w:rsidRDefault="00501D43">
      <w:pPr>
        <w:spacing w:after="0" w:line="240" w:lineRule="auto"/>
        <w:rPr>
          <w:rStyle w:val="normaltextrun"/>
          <w:rFonts w:ascii="Avenir Book" w:eastAsiaTheme="minorHAnsi" w:hAnsi="Avenir Book" w:cs="Calibri"/>
          <w:color w:val="000000" w:themeColor="text1"/>
          <w:sz w:val="24"/>
          <w:szCs w:val="24"/>
          <w:lang w:eastAsia="en-GB"/>
        </w:rPr>
      </w:pPr>
      <w:r>
        <w:rPr>
          <w:rStyle w:val="normaltextrun"/>
          <w:rFonts w:ascii="Avenir Book" w:hAnsi="Avenir Book" w:cs="Calibri"/>
          <w:color w:val="000000" w:themeColor="text1"/>
        </w:rPr>
        <w:br w:type="page"/>
      </w:r>
    </w:p>
    <w:p w14:paraId="27C7440E" w14:textId="63AE56ED" w:rsidR="00501D43" w:rsidRPr="00501D43" w:rsidRDefault="00501D43" w:rsidP="00501D43">
      <w:pPr>
        <w:pStyle w:val="paragraph"/>
        <w:spacing w:before="0" w:beforeAutospacing="0" w:after="0" w:afterAutospacing="0" w:line="360" w:lineRule="auto"/>
        <w:jc w:val="both"/>
        <w:textAlignment w:val="baseline"/>
        <w:rPr>
          <w:rFonts w:ascii="Avenir Book" w:hAnsi="Avenir Book" w:cs="Calibri"/>
          <w:color w:val="000000" w:themeColor="text1"/>
        </w:rPr>
      </w:pPr>
      <w:r w:rsidRPr="00501D43">
        <w:rPr>
          <w:rStyle w:val="normaltextrun"/>
          <w:rFonts w:ascii="Avenir Book" w:hAnsi="Avenir Book" w:cs="Calibri"/>
          <w:color w:val="000000" w:themeColor="text1"/>
          <w:lang w:val="en-US"/>
        </w:rPr>
        <w:lastRenderedPageBreak/>
        <w:t>Commission payments are not paid on a pro rata basis if an Employee works for only part of a commission period, employees need to be employed for the whole period to be eligible for a commission payment.</w:t>
      </w:r>
    </w:p>
    <w:p w14:paraId="380833C0" w14:textId="77777777" w:rsidR="00501D43" w:rsidRPr="00501D43" w:rsidRDefault="00501D43" w:rsidP="00501D43">
      <w:pPr>
        <w:pStyle w:val="paragraph"/>
        <w:spacing w:before="0" w:beforeAutospacing="0" w:after="0" w:afterAutospacing="0" w:line="360" w:lineRule="auto"/>
        <w:jc w:val="both"/>
        <w:textAlignment w:val="baseline"/>
        <w:rPr>
          <w:rStyle w:val="eop"/>
          <w:rFonts w:ascii="Avenir Book" w:hAnsi="Avenir Book" w:cs="Calibri"/>
          <w:color w:val="000000" w:themeColor="text1"/>
        </w:rPr>
      </w:pPr>
      <w:r w:rsidRPr="00501D43">
        <w:rPr>
          <w:rStyle w:val="normaltextrun"/>
          <w:rFonts w:ascii="Avenir Book" w:hAnsi="Avenir Book" w:cs="Calibri"/>
          <w:color w:val="000000" w:themeColor="text1"/>
          <w:lang w:val="en-US"/>
        </w:rPr>
        <w:t xml:space="preserve">Commission payments on are only paid on fees that have been paid by the client. If a fee has been made and invoiced during a commission period but not paid by the </w:t>
      </w:r>
      <w:r w:rsidRPr="00501D43">
        <w:rPr>
          <w:rStyle w:val="normaltextrun"/>
          <w:rFonts w:ascii="Avenir Book" w:hAnsi="Avenir Book" w:cs="Calibri"/>
          <w:color w:val="000000" w:themeColor="text1"/>
          <w:highlight w:val="yellow"/>
          <w:lang w:val="en-US"/>
        </w:rPr>
        <w:t>[4 week]</w:t>
      </w:r>
      <w:r w:rsidRPr="00501D43">
        <w:rPr>
          <w:rStyle w:val="normaltextrun"/>
          <w:rFonts w:ascii="Avenir Book" w:hAnsi="Avenir Book" w:cs="Calibri"/>
          <w:color w:val="000000" w:themeColor="text1"/>
          <w:lang w:val="en-US"/>
        </w:rPr>
        <w:t xml:space="preserve"> ‘cut-off’ period from the date of the invoice, then the fee will not be included in that period’s commission calculation. However, if the fee is subsequently paid, then the revenue from this fee will be added to that next periods overall revenue for commission calculations.  Please note if the fee is never paid or credited you will not receive a commission payment on this fee.</w:t>
      </w:r>
      <w:r w:rsidRPr="00501D43">
        <w:rPr>
          <w:rStyle w:val="eop"/>
          <w:rFonts w:ascii="Avenir Book" w:hAnsi="Avenir Book" w:cs="Calibri"/>
          <w:color w:val="000000" w:themeColor="text1"/>
        </w:rPr>
        <w:t> </w:t>
      </w:r>
    </w:p>
    <w:p w14:paraId="3F0A6B01" w14:textId="77777777" w:rsidR="00501D43" w:rsidRPr="00501D43" w:rsidRDefault="00501D43" w:rsidP="00501D43">
      <w:pPr>
        <w:pStyle w:val="paragraph"/>
        <w:spacing w:before="0" w:beforeAutospacing="0" w:after="0" w:afterAutospacing="0" w:line="360" w:lineRule="auto"/>
        <w:jc w:val="both"/>
        <w:textAlignment w:val="baseline"/>
        <w:rPr>
          <w:rStyle w:val="eop"/>
          <w:rFonts w:ascii="Avenir Book" w:hAnsi="Avenir Book" w:cs="Calibri"/>
          <w:color w:val="000000" w:themeColor="text1"/>
        </w:rPr>
      </w:pPr>
      <w:r w:rsidRPr="00501D43">
        <w:rPr>
          <w:rStyle w:val="eop"/>
          <w:rFonts w:ascii="Avenir Book" w:hAnsi="Avenir Book" w:cs="Calibri"/>
          <w:color w:val="000000" w:themeColor="text1"/>
        </w:rPr>
        <w:t xml:space="preserve">Commission is only paid on the following types of sales that you are </w:t>
      </w:r>
      <w:proofErr w:type="gramStart"/>
      <w:r w:rsidRPr="00501D43">
        <w:rPr>
          <w:rStyle w:val="eop"/>
          <w:rFonts w:ascii="Avenir Book" w:hAnsi="Avenir Book" w:cs="Calibri"/>
          <w:color w:val="000000" w:themeColor="text1"/>
        </w:rPr>
        <w:t>directly responsible</w:t>
      </w:r>
      <w:proofErr w:type="gramEnd"/>
      <w:r w:rsidRPr="00501D43">
        <w:rPr>
          <w:rStyle w:val="eop"/>
          <w:rFonts w:ascii="Avenir Book" w:hAnsi="Avenir Book" w:cs="Calibri"/>
          <w:color w:val="000000" w:themeColor="text1"/>
        </w:rPr>
        <w:t xml:space="preserve"> for </w:t>
      </w:r>
      <w:r w:rsidRPr="00501D43">
        <w:rPr>
          <w:rStyle w:val="eop"/>
          <w:rFonts w:ascii="Avenir Book" w:hAnsi="Avenir Book" w:cs="Calibri"/>
          <w:color w:val="000000" w:themeColor="text1"/>
          <w:highlight w:val="yellow"/>
        </w:rPr>
        <w:t>[insert details].</w:t>
      </w:r>
    </w:p>
    <w:p w14:paraId="690C6C16" w14:textId="788C9C46" w:rsidR="00501D43" w:rsidRPr="00501D43" w:rsidRDefault="00501D43" w:rsidP="00501D43">
      <w:pPr>
        <w:pStyle w:val="paragraph"/>
        <w:spacing w:before="0" w:beforeAutospacing="0" w:after="0" w:afterAutospacing="0" w:line="360" w:lineRule="auto"/>
        <w:jc w:val="both"/>
        <w:textAlignment w:val="baseline"/>
        <w:rPr>
          <w:rFonts w:ascii="Avenir Book" w:hAnsi="Avenir Book" w:cs="Calibri"/>
          <w:color w:val="000000" w:themeColor="text1"/>
        </w:rPr>
      </w:pPr>
      <w:r w:rsidRPr="00501D43">
        <w:rPr>
          <w:rStyle w:val="eop"/>
          <w:rFonts w:ascii="Avenir Book" w:hAnsi="Avenir Book" w:cs="Calibri"/>
          <w:color w:val="000000" w:themeColor="text1"/>
        </w:rPr>
        <w:t xml:space="preserve">All commission payments are </w:t>
      </w:r>
      <w:r w:rsidRPr="00501D43">
        <w:rPr>
          <w:rStyle w:val="eop"/>
          <w:rFonts w:ascii="Avenir Book" w:hAnsi="Avenir Book" w:cs="Calibri"/>
          <w:i/>
          <w:iCs/>
          <w:color w:val="000000" w:themeColor="text1"/>
        </w:rPr>
        <w:t xml:space="preserve">inclusive </w:t>
      </w:r>
      <w:r w:rsidRPr="00501D43">
        <w:rPr>
          <w:rStyle w:val="eop"/>
          <w:rFonts w:ascii="Avenir Book" w:hAnsi="Avenir Book" w:cs="Calibri"/>
          <w:color w:val="000000" w:themeColor="text1"/>
        </w:rPr>
        <w:t xml:space="preserve">of superannuation. </w:t>
      </w:r>
      <w:r>
        <w:rPr>
          <w:rFonts w:ascii="Avenir Book" w:eastAsia="Times New Roman" w:hAnsi="Avenir Book" w:cs="Calibri"/>
          <w:color w:val="000000" w:themeColor="text1"/>
          <w:lang w:eastAsia="en-AU"/>
        </w:rPr>
        <w:t>T</w:t>
      </w:r>
      <w:r w:rsidRPr="00501D43">
        <w:rPr>
          <w:rFonts w:ascii="Avenir Book" w:eastAsia="Times New Roman" w:hAnsi="Avenir Book" w:cs="Calibri"/>
          <w:color w:val="000000" w:themeColor="text1"/>
          <w:lang w:eastAsia="en-AU"/>
        </w:rPr>
        <w:t>he current commission rates are provided in the table below:</w:t>
      </w:r>
    </w:p>
    <w:tbl>
      <w:tblPr>
        <w:tblpPr w:leftFromText="45" w:rightFromText="45" w:vertAnchor="text" w:tblpXSpec="center"/>
        <w:tblW w:w="355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96"/>
        <w:gridCol w:w="2056"/>
      </w:tblGrid>
      <w:tr w:rsidR="00501D43" w:rsidRPr="00501D43" w14:paraId="072A21E7" w14:textId="77777777" w:rsidTr="00501D43">
        <w:trPr>
          <w:trHeight w:val="215"/>
          <w:tblHeader/>
          <w:tblCellSpacing w:w="7" w:type="dxa"/>
        </w:trPr>
        <w:tc>
          <w:tcPr>
            <w:tcW w:w="1475" w:type="dxa"/>
            <w:tcBorders>
              <w:top w:val="outset" w:sz="6" w:space="0" w:color="auto"/>
              <w:left w:val="outset" w:sz="6" w:space="0" w:color="auto"/>
              <w:bottom w:val="outset" w:sz="6" w:space="0" w:color="auto"/>
              <w:right w:val="outset" w:sz="6" w:space="0" w:color="auto"/>
            </w:tcBorders>
            <w:vAlign w:val="center"/>
            <w:hideMark/>
          </w:tcPr>
          <w:p w14:paraId="1C9B6761" w14:textId="77777777" w:rsidR="00501D43" w:rsidRPr="00501D43" w:rsidRDefault="00501D43" w:rsidP="008D4565">
            <w:pPr>
              <w:spacing w:line="360" w:lineRule="auto"/>
              <w:jc w:val="center"/>
              <w:rPr>
                <w:rFonts w:ascii="Avenir Book" w:eastAsia="Times New Roman" w:hAnsi="Avenir Book" w:cs="Calibri"/>
                <w:b/>
                <w:bCs/>
                <w:color w:val="000000" w:themeColor="text1"/>
                <w:sz w:val="24"/>
                <w:szCs w:val="24"/>
                <w:lang w:eastAsia="en-AU"/>
              </w:rPr>
            </w:pPr>
            <w:r w:rsidRPr="00501D43">
              <w:rPr>
                <w:rFonts w:ascii="Avenir Book" w:eastAsia="Times New Roman" w:hAnsi="Avenir Book" w:cs="Calibri"/>
                <w:b/>
                <w:bCs/>
                <w:color w:val="000000" w:themeColor="text1"/>
                <w:sz w:val="24"/>
                <w:szCs w:val="24"/>
                <w:lang w:eastAsia="en-AU"/>
              </w:rPr>
              <w:t xml:space="preserve">Revenue per </w:t>
            </w:r>
            <w:r w:rsidRPr="00501D43">
              <w:rPr>
                <w:rFonts w:ascii="Avenir Book" w:eastAsia="Times New Roman" w:hAnsi="Avenir Book" w:cs="Calibri"/>
                <w:b/>
                <w:bCs/>
                <w:color w:val="000000" w:themeColor="text1"/>
                <w:sz w:val="24"/>
                <w:szCs w:val="24"/>
                <w:highlight w:val="yellow"/>
                <w:lang w:eastAsia="en-AU"/>
              </w:rPr>
              <w:t>[quarter]</w:t>
            </w:r>
            <w:r w:rsidRPr="00501D43">
              <w:rPr>
                <w:rFonts w:ascii="Avenir Book" w:eastAsia="Times New Roman" w:hAnsi="Avenir Book" w:cs="Calibri"/>
                <w:b/>
                <w:bCs/>
                <w:color w:val="000000" w:themeColor="text1"/>
                <w:sz w:val="24"/>
                <w:szCs w:val="24"/>
                <w:lang w:eastAsia="en-AU"/>
              </w:rPr>
              <w:t xml:space="preserve"> </w:t>
            </w:r>
          </w:p>
          <w:p w14:paraId="10D9B07C" w14:textId="77777777" w:rsidR="00501D43" w:rsidRPr="00501D43" w:rsidRDefault="00501D43" w:rsidP="008D4565">
            <w:pPr>
              <w:spacing w:line="360" w:lineRule="auto"/>
              <w:jc w:val="center"/>
              <w:rPr>
                <w:rFonts w:ascii="Avenir Book" w:eastAsia="Times New Roman" w:hAnsi="Avenir Book" w:cs="Calibri"/>
                <w:b/>
                <w:bCs/>
                <w:color w:val="000000" w:themeColor="text1"/>
                <w:sz w:val="24"/>
                <w:szCs w:val="24"/>
                <w:lang w:eastAsia="en-AU"/>
              </w:rPr>
            </w:pPr>
            <w:r w:rsidRPr="00501D43">
              <w:rPr>
                <w:rFonts w:ascii="Avenir Book" w:eastAsia="Times New Roman" w:hAnsi="Avenir Book" w:cs="Calibri"/>
                <w:b/>
                <w:bCs/>
                <w:color w:val="000000" w:themeColor="text1"/>
                <w:sz w:val="24"/>
                <w:szCs w:val="24"/>
                <w:lang w:eastAsia="en-AU"/>
              </w:rPr>
              <w:t>$</w:t>
            </w:r>
          </w:p>
        </w:tc>
        <w:tc>
          <w:tcPr>
            <w:tcW w:w="2035" w:type="dxa"/>
            <w:tcBorders>
              <w:top w:val="outset" w:sz="6" w:space="0" w:color="auto"/>
              <w:left w:val="outset" w:sz="6" w:space="0" w:color="auto"/>
              <w:bottom w:val="outset" w:sz="6" w:space="0" w:color="auto"/>
              <w:right w:val="outset" w:sz="6" w:space="0" w:color="auto"/>
            </w:tcBorders>
            <w:vAlign w:val="center"/>
            <w:hideMark/>
          </w:tcPr>
          <w:p w14:paraId="0A543A06" w14:textId="77777777" w:rsidR="00501D43" w:rsidRPr="00501D43" w:rsidRDefault="00501D43" w:rsidP="008D4565">
            <w:pPr>
              <w:spacing w:line="360" w:lineRule="auto"/>
              <w:jc w:val="center"/>
              <w:rPr>
                <w:rFonts w:ascii="Avenir Book" w:eastAsia="Times New Roman" w:hAnsi="Avenir Book" w:cs="Calibri"/>
                <w:b/>
                <w:bCs/>
                <w:color w:val="000000" w:themeColor="text1"/>
                <w:sz w:val="24"/>
                <w:szCs w:val="24"/>
                <w:lang w:eastAsia="en-AU"/>
              </w:rPr>
            </w:pPr>
            <w:r w:rsidRPr="00501D43">
              <w:rPr>
                <w:rFonts w:ascii="Avenir Book" w:eastAsia="Times New Roman" w:hAnsi="Avenir Book" w:cs="Calibri"/>
                <w:b/>
                <w:bCs/>
                <w:color w:val="000000" w:themeColor="text1"/>
                <w:sz w:val="24"/>
                <w:szCs w:val="24"/>
                <w:lang w:eastAsia="en-AU"/>
              </w:rPr>
              <w:t>Commission rate</w:t>
            </w:r>
          </w:p>
          <w:p w14:paraId="5C42BBC3" w14:textId="77777777" w:rsidR="00501D43" w:rsidRPr="00501D43" w:rsidRDefault="00501D43" w:rsidP="008D4565">
            <w:pPr>
              <w:spacing w:line="360" w:lineRule="auto"/>
              <w:jc w:val="center"/>
              <w:rPr>
                <w:rFonts w:ascii="Avenir Book" w:eastAsia="Times New Roman" w:hAnsi="Avenir Book" w:cs="Calibri"/>
                <w:b/>
                <w:bCs/>
                <w:color w:val="000000" w:themeColor="text1"/>
                <w:sz w:val="24"/>
                <w:szCs w:val="24"/>
                <w:lang w:eastAsia="en-AU"/>
              </w:rPr>
            </w:pPr>
            <w:r w:rsidRPr="00501D43">
              <w:rPr>
                <w:rFonts w:ascii="Avenir Book" w:eastAsia="Times New Roman" w:hAnsi="Avenir Book" w:cs="Calibri"/>
                <w:b/>
                <w:bCs/>
                <w:color w:val="000000" w:themeColor="text1"/>
                <w:sz w:val="24"/>
                <w:szCs w:val="24"/>
                <w:lang w:eastAsia="en-AU"/>
              </w:rPr>
              <w:t>%</w:t>
            </w:r>
          </w:p>
        </w:tc>
      </w:tr>
      <w:tr w:rsidR="00501D43" w:rsidRPr="00501D43" w14:paraId="5FE7EB43" w14:textId="77777777" w:rsidTr="00501D43">
        <w:trPr>
          <w:trHeight w:val="226"/>
          <w:tblHeader/>
          <w:tblCellSpacing w:w="7" w:type="dxa"/>
        </w:trPr>
        <w:tc>
          <w:tcPr>
            <w:tcW w:w="1475" w:type="dxa"/>
            <w:tcBorders>
              <w:top w:val="outset" w:sz="6" w:space="0" w:color="auto"/>
              <w:left w:val="outset" w:sz="6" w:space="0" w:color="auto"/>
              <w:bottom w:val="outset" w:sz="6" w:space="0" w:color="auto"/>
              <w:right w:val="outset" w:sz="6" w:space="0" w:color="auto"/>
            </w:tcBorders>
            <w:vAlign w:val="center"/>
            <w:hideMark/>
          </w:tcPr>
          <w:p w14:paraId="76634A45" w14:textId="77777777" w:rsidR="00501D43" w:rsidRPr="00501D43" w:rsidRDefault="00501D43" w:rsidP="008D4565">
            <w:pPr>
              <w:spacing w:line="360" w:lineRule="auto"/>
              <w:jc w:val="center"/>
              <w:rPr>
                <w:rFonts w:ascii="Avenir Book" w:eastAsia="Times New Roman" w:hAnsi="Avenir Book" w:cs="Calibri"/>
                <w:color w:val="000000" w:themeColor="text1"/>
                <w:sz w:val="24"/>
                <w:szCs w:val="24"/>
                <w:lang w:eastAsia="en-AU"/>
              </w:rPr>
            </w:pPr>
          </w:p>
        </w:tc>
        <w:tc>
          <w:tcPr>
            <w:tcW w:w="2035" w:type="dxa"/>
            <w:tcBorders>
              <w:top w:val="outset" w:sz="6" w:space="0" w:color="auto"/>
              <w:left w:val="outset" w:sz="6" w:space="0" w:color="auto"/>
              <w:bottom w:val="outset" w:sz="6" w:space="0" w:color="auto"/>
              <w:right w:val="outset" w:sz="6" w:space="0" w:color="auto"/>
            </w:tcBorders>
            <w:vAlign w:val="center"/>
            <w:hideMark/>
          </w:tcPr>
          <w:p w14:paraId="5A25317A" w14:textId="77777777" w:rsidR="00501D43" w:rsidRPr="00501D43" w:rsidRDefault="00501D43" w:rsidP="008D4565">
            <w:pPr>
              <w:spacing w:line="360" w:lineRule="auto"/>
              <w:jc w:val="center"/>
              <w:rPr>
                <w:rFonts w:ascii="Avenir Book" w:eastAsia="Times New Roman" w:hAnsi="Avenir Book" w:cs="Calibri"/>
                <w:color w:val="000000" w:themeColor="text1"/>
                <w:sz w:val="24"/>
                <w:szCs w:val="24"/>
                <w:lang w:eastAsia="en-AU"/>
              </w:rPr>
            </w:pPr>
          </w:p>
        </w:tc>
      </w:tr>
      <w:tr w:rsidR="00501D43" w:rsidRPr="00501D43" w14:paraId="47D7A4DB" w14:textId="77777777" w:rsidTr="00501D43">
        <w:trPr>
          <w:trHeight w:val="215"/>
          <w:tblHeader/>
          <w:tblCellSpacing w:w="7" w:type="dxa"/>
        </w:trPr>
        <w:tc>
          <w:tcPr>
            <w:tcW w:w="1475" w:type="dxa"/>
            <w:tcBorders>
              <w:top w:val="outset" w:sz="6" w:space="0" w:color="auto"/>
              <w:left w:val="outset" w:sz="6" w:space="0" w:color="auto"/>
              <w:bottom w:val="outset" w:sz="6" w:space="0" w:color="auto"/>
              <w:right w:val="outset" w:sz="6" w:space="0" w:color="auto"/>
            </w:tcBorders>
            <w:vAlign w:val="center"/>
            <w:hideMark/>
          </w:tcPr>
          <w:p w14:paraId="5F39504A" w14:textId="77777777" w:rsidR="00501D43" w:rsidRPr="00501D43" w:rsidRDefault="00501D43" w:rsidP="008D4565">
            <w:pPr>
              <w:spacing w:line="360" w:lineRule="auto"/>
              <w:jc w:val="center"/>
              <w:rPr>
                <w:rFonts w:ascii="Avenir Book" w:eastAsia="Times New Roman" w:hAnsi="Avenir Book" w:cs="Calibri"/>
                <w:color w:val="000000" w:themeColor="text1"/>
                <w:sz w:val="24"/>
                <w:szCs w:val="24"/>
                <w:lang w:eastAsia="en-AU"/>
              </w:rPr>
            </w:pPr>
          </w:p>
        </w:tc>
        <w:tc>
          <w:tcPr>
            <w:tcW w:w="2035" w:type="dxa"/>
            <w:tcBorders>
              <w:top w:val="outset" w:sz="6" w:space="0" w:color="auto"/>
              <w:left w:val="outset" w:sz="6" w:space="0" w:color="auto"/>
              <w:bottom w:val="outset" w:sz="6" w:space="0" w:color="auto"/>
              <w:right w:val="outset" w:sz="6" w:space="0" w:color="auto"/>
            </w:tcBorders>
            <w:vAlign w:val="center"/>
            <w:hideMark/>
          </w:tcPr>
          <w:p w14:paraId="34CA16C0" w14:textId="77777777" w:rsidR="00501D43" w:rsidRPr="00501D43" w:rsidRDefault="00501D43" w:rsidP="008D4565">
            <w:pPr>
              <w:spacing w:line="360" w:lineRule="auto"/>
              <w:jc w:val="center"/>
              <w:rPr>
                <w:rFonts w:ascii="Avenir Book" w:eastAsia="Times New Roman" w:hAnsi="Avenir Book" w:cs="Calibri"/>
                <w:color w:val="000000" w:themeColor="text1"/>
                <w:sz w:val="24"/>
                <w:szCs w:val="24"/>
                <w:lang w:eastAsia="en-AU"/>
              </w:rPr>
            </w:pPr>
          </w:p>
        </w:tc>
      </w:tr>
      <w:tr w:rsidR="00501D43" w:rsidRPr="00501D43" w14:paraId="67E0AB37" w14:textId="77777777" w:rsidTr="00501D43">
        <w:trPr>
          <w:trHeight w:val="215"/>
          <w:tblHeader/>
          <w:tblCellSpacing w:w="7" w:type="dxa"/>
        </w:trPr>
        <w:tc>
          <w:tcPr>
            <w:tcW w:w="1475" w:type="dxa"/>
            <w:tcBorders>
              <w:top w:val="outset" w:sz="6" w:space="0" w:color="auto"/>
              <w:left w:val="outset" w:sz="6" w:space="0" w:color="auto"/>
              <w:bottom w:val="outset" w:sz="6" w:space="0" w:color="auto"/>
              <w:right w:val="outset" w:sz="6" w:space="0" w:color="auto"/>
            </w:tcBorders>
            <w:vAlign w:val="center"/>
            <w:hideMark/>
          </w:tcPr>
          <w:p w14:paraId="36DC4EFC" w14:textId="77777777" w:rsidR="00501D43" w:rsidRPr="00501D43" w:rsidRDefault="00501D43" w:rsidP="008D4565">
            <w:pPr>
              <w:spacing w:line="360" w:lineRule="auto"/>
              <w:jc w:val="center"/>
              <w:rPr>
                <w:rFonts w:ascii="Avenir Book" w:eastAsia="Times New Roman" w:hAnsi="Avenir Book" w:cs="Calibri"/>
                <w:color w:val="000000" w:themeColor="text1"/>
                <w:sz w:val="24"/>
                <w:szCs w:val="24"/>
                <w:lang w:eastAsia="en-AU"/>
              </w:rPr>
            </w:pPr>
          </w:p>
        </w:tc>
        <w:tc>
          <w:tcPr>
            <w:tcW w:w="2035" w:type="dxa"/>
            <w:tcBorders>
              <w:top w:val="outset" w:sz="6" w:space="0" w:color="auto"/>
              <w:left w:val="outset" w:sz="6" w:space="0" w:color="auto"/>
              <w:bottom w:val="outset" w:sz="6" w:space="0" w:color="auto"/>
              <w:right w:val="outset" w:sz="6" w:space="0" w:color="auto"/>
            </w:tcBorders>
            <w:vAlign w:val="center"/>
            <w:hideMark/>
          </w:tcPr>
          <w:p w14:paraId="3CCEE2D4" w14:textId="77777777" w:rsidR="00501D43" w:rsidRPr="00501D43" w:rsidRDefault="00501D43" w:rsidP="008D4565">
            <w:pPr>
              <w:spacing w:line="360" w:lineRule="auto"/>
              <w:rPr>
                <w:rFonts w:ascii="Avenir Book" w:eastAsia="Times New Roman" w:hAnsi="Avenir Book" w:cs="Calibri"/>
                <w:color w:val="000000" w:themeColor="text1"/>
                <w:sz w:val="24"/>
                <w:szCs w:val="24"/>
                <w:lang w:eastAsia="en-AU"/>
              </w:rPr>
            </w:pPr>
          </w:p>
        </w:tc>
      </w:tr>
      <w:tr w:rsidR="00501D43" w:rsidRPr="00501D43" w14:paraId="363BEAFA" w14:textId="77777777" w:rsidTr="00501D43">
        <w:trPr>
          <w:trHeight w:val="226"/>
          <w:tblHeader/>
          <w:tblCellSpacing w:w="7" w:type="dxa"/>
        </w:trPr>
        <w:tc>
          <w:tcPr>
            <w:tcW w:w="1475" w:type="dxa"/>
            <w:tcBorders>
              <w:top w:val="outset" w:sz="6" w:space="0" w:color="auto"/>
              <w:left w:val="outset" w:sz="6" w:space="0" w:color="auto"/>
              <w:bottom w:val="outset" w:sz="6" w:space="0" w:color="auto"/>
              <w:right w:val="outset" w:sz="6" w:space="0" w:color="auto"/>
            </w:tcBorders>
            <w:vAlign w:val="center"/>
            <w:hideMark/>
          </w:tcPr>
          <w:p w14:paraId="311552C5" w14:textId="77777777" w:rsidR="00501D43" w:rsidRPr="00501D43" w:rsidRDefault="00501D43" w:rsidP="008D4565">
            <w:pPr>
              <w:spacing w:line="360" w:lineRule="auto"/>
              <w:jc w:val="center"/>
              <w:rPr>
                <w:rFonts w:ascii="Avenir Book" w:eastAsia="Times New Roman" w:hAnsi="Avenir Book" w:cs="Calibri"/>
                <w:color w:val="000000" w:themeColor="text1"/>
                <w:sz w:val="24"/>
                <w:szCs w:val="24"/>
                <w:lang w:eastAsia="en-AU"/>
              </w:rPr>
            </w:pPr>
          </w:p>
        </w:tc>
        <w:tc>
          <w:tcPr>
            <w:tcW w:w="2035" w:type="dxa"/>
            <w:tcBorders>
              <w:top w:val="outset" w:sz="6" w:space="0" w:color="auto"/>
              <w:left w:val="outset" w:sz="6" w:space="0" w:color="auto"/>
              <w:bottom w:val="outset" w:sz="6" w:space="0" w:color="auto"/>
              <w:right w:val="outset" w:sz="6" w:space="0" w:color="auto"/>
            </w:tcBorders>
            <w:vAlign w:val="center"/>
            <w:hideMark/>
          </w:tcPr>
          <w:p w14:paraId="1A1517BA" w14:textId="77777777" w:rsidR="00501D43" w:rsidRPr="00501D43" w:rsidRDefault="00501D43" w:rsidP="008D4565">
            <w:pPr>
              <w:spacing w:line="360" w:lineRule="auto"/>
              <w:jc w:val="center"/>
              <w:rPr>
                <w:rFonts w:ascii="Avenir Book" w:eastAsia="Times New Roman" w:hAnsi="Avenir Book" w:cs="Calibri"/>
                <w:color w:val="000000" w:themeColor="text1"/>
                <w:sz w:val="24"/>
                <w:szCs w:val="24"/>
                <w:lang w:eastAsia="en-AU"/>
              </w:rPr>
            </w:pPr>
          </w:p>
        </w:tc>
      </w:tr>
      <w:tr w:rsidR="00501D43" w:rsidRPr="00501D43" w14:paraId="7D4A9FC7" w14:textId="77777777" w:rsidTr="00501D43">
        <w:trPr>
          <w:trHeight w:val="215"/>
          <w:tblHeader/>
          <w:tblCellSpacing w:w="7" w:type="dxa"/>
        </w:trPr>
        <w:tc>
          <w:tcPr>
            <w:tcW w:w="1475" w:type="dxa"/>
            <w:tcBorders>
              <w:top w:val="outset" w:sz="6" w:space="0" w:color="auto"/>
              <w:left w:val="outset" w:sz="6" w:space="0" w:color="auto"/>
              <w:bottom w:val="outset" w:sz="6" w:space="0" w:color="auto"/>
              <w:right w:val="outset" w:sz="6" w:space="0" w:color="auto"/>
            </w:tcBorders>
            <w:vAlign w:val="center"/>
            <w:hideMark/>
          </w:tcPr>
          <w:p w14:paraId="145A8A54" w14:textId="77777777" w:rsidR="00501D43" w:rsidRPr="00501D43" w:rsidRDefault="00501D43" w:rsidP="00501D43">
            <w:pPr>
              <w:spacing w:line="360" w:lineRule="auto"/>
              <w:rPr>
                <w:rFonts w:ascii="Avenir Book" w:eastAsia="Times New Roman" w:hAnsi="Avenir Book" w:cs="Calibri"/>
                <w:color w:val="000000" w:themeColor="text1"/>
                <w:sz w:val="24"/>
                <w:szCs w:val="24"/>
                <w:lang w:eastAsia="en-AU"/>
              </w:rPr>
            </w:pPr>
          </w:p>
        </w:tc>
        <w:tc>
          <w:tcPr>
            <w:tcW w:w="2035" w:type="dxa"/>
            <w:tcBorders>
              <w:top w:val="outset" w:sz="6" w:space="0" w:color="auto"/>
              <w:left w:val="outset" w:sz="6" w:space="0" w:color="auto"/>
              <w:bottom w:val="outset" w:sz="6" w:space="0" w:color="auto"/>
              <w:right w:val="outset" w:sz="6" w:space="0" w:color="auto"/>
            </w:tcBorders>
            <w:vAlign w:val="center"/>
            <w:hideMark/>
          </w:tcPr>
          <w:p w14:paraId="70796CAA" w14:textId="77777777" w:rsidR="00501D43" w:rsidRPr="00501D43" w:rsidRDefault="00501D43" w:rsidP="008D4565">
            <w:pPr>
              <w:spacing w:line="360" w:lineRule="auto"/>
              <w:jc w:val="center"/>
              <w:rPr>
                <w:rFonts w:ascii="Avenir Book" w:eastAsia="Times New Roman" w:hAnsi="Avenir Book" w:cs="Calibri"/>
                <w:color w:val="000000" w:themeColor="text1"/>
                <w:sz w:val="24"/>
                <w:szCs w:val="24"/>
                <w:lang w:eastAsia="en-AU"/>
              </w:rPr>
            </w:pPr>
          </w:p>
        </w:tc>
      </w:tr>
      <w:tr w:rsidR="00501D43" w:rsidRPr="00501D43" w14:paraId="46998726" w14:textId="77777777" w:rsidTr="00501D43">
        <w:trPr>
          <w:trHeight w:val="226"/>
          <w:tblHeader/>
          <w:tblCellSpacing w:w="7" w:type="dxa"/>
        </w:trPr>
        <w:tc>
          <w:tcPr>
            <w:tcW w:w="1475" w:type="dxa"/>
            <w:tcBorders>
              <w:top w:val="outset" w:sz="6" w:space="0" w:color="auto"/>
              <w:left w:val="outset" w:sz="6" w:space="0" w:color="auto"/>
              <w:bottom w:val="outset" w:sz="6" w:space="0" w:color="auto"/>
              <w:right w:val="outset" w:sz="6" w:space="0" w:color="auto"/>
            </w:tcBorders>
            <w:vAlign w:val="center"/>
            <w:hideMark/>
          </w:tcPr>
          <w:p w14:paraId="32E09665" w14:textId="77777777" w:rsidR="00501D43" w:rsidRPr="00501D43" w:rsidRDefault="00501D43" w:rsidP="008D4565">
            <w:pPr>
              <w:spacing w:line="360" w:lineRule="auto"/>
              <w:jc w:val="center"/>
              <w:rPr>
                <w:rFonts w:ascii="Avenir Book" w:eastAsia="Times New Roman" w:hAnsi="Avenir Book" w:cs="Calibri"/>
                <w:color w:val="000000" w:themeColor="text1"/>
                <w:sz w:val="24"/>
                <w:szCs w:val="24"/>
                <w:lang w:eastAsia="en-AU"/>
              </w:rPr>
            </w:pPr>
          </w:p>
        </w:tc>
        <w:tc>
          <w:tcPr>
            <w:tcW w:w="2035" w:type="dxa"/>
            <w:tcBorders>
              <w:top w:val="outset" w:sz="6" w:space="0" w:color="auto"/>
              <w:left w:val="outset" w:sz="6" w:space="0" w:color="auto"/>
              <w:bottom w:val="outset" w:sz="6" w:space="0" w:color="auto"/>
              <w:right w:val="outset" w:sz="6" w:space="0" w:color="auto"/>
            </w:tcBorders>
            <w:vAlign w:val="center"/>
            <w:hideMark/>
          </w:tcPr>
          <w:p w14:paraId="6CF67954" w14:textId="77777777" w:rsidR="00501D43" w:rsidRPr="00501D43" w:rsidRDefault="00501D43" w:rsidP="008D4565">
            <w:pPr>
              <w:spacing w:line="360" w:lineRule="auto"/>
              <w:jc w:val="center"/>
              <w:rPr>
                <w:rFonts w:ascii="Avenir Book" w:eastAsia="Times New Roman" w:hAnsi="Avenir Book" w:cs="Calibri"/>
                <w:color w:val="000000" w:themeColor="text1"/>
                <w:sz w:val="24"/>
                <w:szCs w:val="24"/>
                <w:lang w:eastAsia="en-AU"/>
              </w:rPr>
            </w:pPr>
          </w:p>
        </w:tc>
      </w:tr>
    </w:tbl>
    <w:p w14:paraId="0AE28B8F" w14:textId="77777777" w:rsidR="00501D43" w:rsidRPr="00501D43" w:rsidRDefault="00501D43" w:rsidP="00501D43">
      <w:pPr>
        <w:spacing w:line="360" w:lineRule="auto"/>
        <w:rPr>
          <w:rFonts w:ascii="Avenir Book" w:hAnsi="Avenir Book" w:cs="Calibri"/>
          <w:color w:val="000000" w:themeColor="text1"/>
          <w:sz w:val="24"/>
          <w:szCs w:val="24"/>
        </w:rPr>
      </w:pPr>
    </w:p>
    <w:p w14:paraId="30109CC1" w14:textId="77777777" w:rsidR="00501D43" w:rsidRPr="00501D43" w:rsidRDefault="00501D43" w:rsidP="00501D43">
      <w:pPr>
        <w:spacing w:line="360" w:lineRule="auto"/>
        <w:rPr>
          <w:rFonts w:ascii="Avenir Book" w:hAnsi="Avenir Book" w:cs="Calibri"/>
          <w:color w:val="000000" w:themeColor="text1"/>
          <w:sz w:val="24"/>
          <w:szCs w:val="24"/>
        </w:rPr>
      </w:pPr>
    </w:p>
    <w:p w14:paraId="085A6D9C" w14:textId="77777777" w:rsidR="00501D43" w:rsidRPr="00501D43" w:rsidRDefault="00501D43" w:rsidP="00501D43">
      <w:pPr>
        <w:spacing w:line="360" w:lineRule="auto"/>
        <w:rPr>
          <w:rFonts w:ascii="Avenir Book" w:hAnsi="Avenir Book" w:cs="Calibri"/>
          <w:color w:val="000000" w:themeColor="text1"/>
          <w:sz w:val="24"/>
          <w:szCs w:val="24"/>
        </w:rPr>
      </w:pPr>
      <w:r w:rsidRPr="00501D43">
        <w:rPr>
          <w:rFonts w:ascii="Avenir Book" w:hAnsi="Avenir Book" w:cs="Calibri"/>
          <w:color w:val="000000" w:themeColor="text1"/>
          <w:sz w:val="24"/>
          <w:szCs w:val="24"/>
        </w:rPr>
        <w:br/>
      </w:r>
    </w:p>
    <w:p w14:paraId="102BB6D1" w14:textId="77777777" w:rsidR="00501D43" w:rsidRPr="00501D43" w:rsidRDefault="00501D43" w:rsidP="00501D43">
      <w:pPr>
        <w:spacing w:line="360" w:lineRule="auto"/>
        <w:rPr>
          <w:rFonts w:ascii="Avenir Book" w:hAnsi="Avenir Book" w:cs="Calibri"/>
          <w:color w:val="000000" w:themeColor="text1"/>
          <w:sz w:val="24"/>
          <w:szCs w:val="24"/>
        </w:rPr>
      </w:pPr>
    </w:p>
    <w:p w14:paraId="78112BCA" w14:textId="77777777" w:rsidR="00501D43" w:rsidRPr="00501D43" w:rsidRDefault="00501D43" w:rsidP="00501D43">
      <w:pPr>
        <w:spacing w:line="360" w:lineRule="auto"/>
        <w:rPr>
          <w:rFonts w:ascii="Avenir Book" w:hAnsi="Avenir Book" w:cs="Calibri"/>
          <w:color w:val="000000" w:themeColor="text1"/>
          <w:sz w:val="24"/>
          <w:szCs w:val="24"/>
        </w:rPr>
      </w:pPr>
    </w:p>
    <w:p w14:paraId="45C9E99B" w14:textId="77777777" w:rsidR="00501D43" w:rsidRPr="00501D43" w:rsidRDefault="00501D43" w:rsidP="00501D43">
      <w:pPr>
        <w:spacing w:line="360" w:lineRule="auto"/>
        <w:rPr>
          <w:rFonts w:ascii="Avenir Book" w:hAnsi="Avenir Book" w:cs="Calibri"/>
          <w:color w:val="000000" w:themeColor="text1"/>
          <w:sz w:val="24"/>
          <w:szCs w:val="24"/>
        </w:rPr>
      </w:pPr>
    </w:p>
    <w:p w14:paraId="0DA8C120" w14:textId="77777777" w:rsidR="00501D43" w:rsidRPr="00501D43" w:rsidRDefault="00501D43" w:rsidP="00501D43">
      <w:pPr>
        <w:spacing w:line="360" w:lineRule="auto"/>
        <w:rPr>
          <w:rFonts w:ascii="Avenir Book" w:eastAsia="Times New Roman" w:hAnsi="Avenir Book" w:cs="Calibri"/>
          <w:color w:val="000000" w:themeColor="text1"/>
          <w:sz w:val="24"/>
          <w:szCs w:val="24"/>
          <w:lang w:eastAsia="en-AU"/>
        </w:rPr>
      </w:pPr>
      <w:r w:rsidRPr="00501D43">
        <w:rPr>
          <w:rFonts w:ascii="Avenir Book" w:eastAsia="Times New Roman" w:hAnsi="Avenir Book" w:cs="Calibri"/>
          <w:color w:val="000000" w:themeColor="text1"/>
          <w:sz w:val="24"/>
          <w:szCs w:val="24"/>
          <w:lang w:eastAsia="en-AU"/>
        </w:rPr>
        <w:t>Any revenue generated above $</w:t>
      </w:r>
      <w:r w:rsidRPr="00501D43">
        <w:rPr>
          <w:rFonts w:ascii="Avenir Book" w:eastAsia="Times New Roman" w:hAnsi="Avenir Book" w:cs="Calibri"/>
          <w:color w:val="000000" w:themeColor="text1"/>
          <w:sz w:val="24"/>
          <w:szCs w:val="24"/>
          <w:highlight w:val="yellow"/>
          <w:lang w:eastAsia="en-AU"/>
        </w:rPr>
        <w:t>[insert]</w:t>
      </w:r>
      <w:r w:rsidRPr="00501D43">
        <w:rPr>
          <w:rFonts w:ascii="Avenir Book" w:eastAsia="Times New Roman" w:hAnsi="Avenir Book" w:cs="Calibri"/>
          <w:color w:val="000000" w:themeColor="text1"/>
          <w:sz w:val="24"/>
          <w:szCs w:val="24"/>
          <w:lang w:eastAsia="en-AU"/>
        </w:rPr>
        <w:t xml:space="preserve"> per </w:t>
      </w:r>
      <w:r w:rsidRPr="00501D43">
        <w:rPr>
          <w:rFonts w:ascii="Avenir Book" w:eastAsia="Times New Roman" w:hAnsi="Avenir Book" w:cs="Calibri"/>
          <w:color w:val="000000" w:themeColor="text1"/>
          <w:sz w:val="24"/>
          <w:szCs w:val="24"/>
          <w:highlight w:val="yellow"/>
          <w:lang w:eastAsia="en-AU"/>
        </w:rPr>
        <w:t>[quarter]</w:t>
      </w:r>
      <w:r w:rsidRPr="00501D43">
        <w:rPr>
          <w:rFonts w:ascii="Avenir Book" w:eastAsia="Times New Roman" w:hAnsi="Avenir Book" w:cs="Calibri"/>
          <w:color w:val="000000" w:themeColor="text1"/>
          <w:sz w:val="24"/>
          <w:szCs w:val="24"/>
          <w:lang w:eastAsia="en-AU"/>
        </w:rPr>
        <w:t xml:space="preserve"> will be capped at a commission rate of </w:t>
      </w:r>
      <w:r w:rsidRPr="00501D43">
        <w:rPr>
          <w:rFonts w:ascii="Avenir Book" w:eastAsia="Times New Roman" w:hAnsi="Avenir Book" w:cs="Calibri"/>
          <w:color w:val="000000" w:themeColor="text1"/>
          <w:sz w:val="24"/>
          <w:szCs w:val="24"/>
          <w:highlight w:val="yellow"/>
          <w:lang w:eastAsia="en-AU"/>
        </w:rPr>
        <w:t>[insert]</w:t>
      </w:r>
      <w:r w:rsidRPr="00501D43">
        <w:rPr>
          <w:rFonts w:ascii="Avenir Book" w:eastAsia="Times New Roman" w:hAnsi="Avenir Book" w:cs="Calibri"/>
          <w:color w:val="000000" w:themeColor="text1"/>
          <w:sz w:val="24"/>
          <w:szCs w:val="24"/>
          <w:lang w:eastAsia="en-AU"/>
        </w:rPr>
        <w:t xml:space="preserve"> %.</w:t>
      </w:r>
    </w:p>
    <w:p w14:paraId="16DEDA84" w14:textId="5BB4C504" w:rsidR="00634B87" w:rsidRPr="00501D43" w:rsidRDefault="00634B87" w:rsidP="00501D43"/>
    <w:sectPr w:rsidR="00634B87" w:rsidRPr="00501D43" w:rsidSect="006B198A">
      <w:headerReference w:type="default" r:id="rId7"/>
      <w:footerReference w:type="default" r:id="rId8"/>
      <w:pgSz w:w="11900" w:h="16840"/>
      <w:pgMar w:top="2178" w:right="1440" w:bottom="1385" w:left="144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0F9C4" w14:textId="77777777" w:rsidR="005F5FE4" w:rsidRDefault="005F5FE4" w:rsidP="000B1396">
      <w:r>
        <w:separator/>
      </w:r>
    </w:p>
  </w:endnote>
  <w:endnote w:type="continuationSeparator" w:id="0">
    <w:p w14:paraId="197D8C82" w14:textId="77777777" w:rsidR="005F5FE4" w:rsidRDefault="005F5FE4"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1712" w14:textId="21851277" w:rsidR="00634B87" w:rsidRPr="006B198A" w:rsidRDefault="00501D43" w:rsidP="006B198A">
    <w:pPr>
      <w:pStyle w:val="Footer"/>
      <w:jc w:val="center"/>
      <w:rPr>
        <w:color w:val="000000" w:themeColor="text1"/>
        <w:sz w:val="14"/>
        <w:szCs w:val="14"/>
      </w:rPr>
    </w:pPr>
    <w:r>
      <w:rPr>
        <w:noProof/>
        <w:color w:val="000000" w:themeColor="text1"/>
        <w:sz w:val="14"/>
        <w:szCs w:val="14"/>
      </w:rPr>
      <w:drawing>
        <wp:anchor distT="0" distB="0" distL="114300" distR="114300" simplePos="0" relativeHeight="251662336" behindDoc="0" locked="0" layoutInCell="1" allowOverlap="1" wp14:anchorId="07DCEA2D" wp14:editId="09222E22">
          <wp:simplePos x="0" y="0"/>
          <wp:positionH relativeFrom="margin">
            <wp:align>right</wp:align>
          </wp:positionH>
          <wp:positionV relativeFrom="paragraph">
            <wp:posOffset>-1442720</wp:posOffset>
          </wp:positionV>
          <wp:extent cx="5614670" cy="15303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1530350"/>
                  </a:xfrm>
                  <a:prstGeom prst="rect">
                    <a:avLst/>
                  </a:prstGeom>
                  <a:noFill/>
                </pic:spPr>
              </pic:pic>
            </a:graphicData>
          </a:graphic>
        </wp:anchor>
      </w:drawing>
    </w:r>
    <w:r w:rsidR="00634B87" w:rsidRPr="006B198A">
      <w:rPr>
        <w:noProof/>
        <w:color w:val="000000" w:themeColor="text1"/>
        <w:sz w:val="14"/>
        <w:szCs w:val="14"/>
      </w:rPr>
      <w:drawing>
        <wp:anchor distT="0" distB="0" distL="114300" distR="114300" simplePos="0" relativeHeight="251661312" behindDoc="0" locked="0" layoutInCell="1" allowOverlap="1" wp14:anchorId="1059E158" wp14:editId="3D565469">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2">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E7F26" w14:textId="77777777" w:rsidR="005F5FE4" w:rsidRDefault="005F5FE4" w:rsidP="000B1396">
      <w:r>
        <w:separator/>
      </w:r>
    </w:p>
  </w:footnote>
  <w:footnote w:type="continuationSeparator" w:id="0">
    <w:p w14:paraId="57404782" w14:textId="77777777" w:rsidR="005F5FE4" w:rsidRDefault="005F5FE4"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A4736"/>
    <w:rsid w:val="003C4F67"/>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1D43"/>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5F5FE4"/>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C3B73"/>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A7A59"/>
    <w:rsid w:val="00BB62FE"/>
    <w:rsid w:val="00BC02FD"/>
    <w:rsid w:val="00BC2778"/>
    <w:rsid w:val="00BC78B6"/>
    <w:rsid w:val="00BE46B9"/>
    <w:rsid w:val="00BF039F"/>
    <w:rsid w:val="00C00BFC"/>
    <w:rsid w:val="00C00C17"/>
    <w:rsid w:val="00C35BDF"/>
    <w:rsid w:val="00C63E2A"/>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754BC"/>
    <w:rsid w:val="00E807BF"/>
    <w:rsid w:val="00E81823"/>
    <w:rsid w:val="00EB60B9"/>
    <w:rsid w:val="00EC0821"/>
    <w:rsid w:val="00EC0F19"/>
    <w:rsid w:val="00F004A5"/>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 w:type="paragraph" w:styleId="NormalWeb">
    <w:name w:val="Normal (Web)"/>
    <w:basedOn w:val="Normal"/>
    <w:uiPriority w:val="99"/>
    <w:unhideWhenUsed/>
    <w:rsid w:val="00501D43"/>
    <w:pPr>
      <w:spacing w:before="100" w:beforeAutospacing="1" w:after="100" w:afterAutospacing="1" w:line="240" w:lineRule="auto"/>
    </w:pPr>
    <w:rPr>
      <w:rFonts w:ascii="Times" w:eastAsiaTheme="minorEastAsia" w:hAnsi="Times" w:cs="Times New Roman"/>
      <w:sz w:val="20"/>
      <w:szCs w:val="20"/>
      <w:lang w:val="en-AU"/>
    </w:rPr>
  </w:style>
  <w:style w:type="character" w:customStyle="1" w:styleId="view">
    <w:name w:val="view"/>
    <w:basedOn w:val="DefaultParagraphFont"/>
    <w:rsid w:val="00501D43"/>
  </w:style>
  <w:style w:type="paragraph" w:customStyle="1" w:styleId="paragraph">
    <w:name w:val="paragraph"/>
    <w:basedOn w:val="Normal"/>
    <w:rsid w:val="00501D43"/>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normaltextrun">
    <w:name w:val="normaltextrun"/>
    <w:basedOn w:val="DefaultParagraphFont"/>
    <w:rsid w:val="00501D43"/>
  </w:style>
  <w:style w:type="character" w:customStyle="1" w:styleId="eop">
    <w:name w:val="eop"/>
    <w:basedOn w:val="DefaultParagraphFont"/>
    <w:rsid w:val="00501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3</cp:revision>
  <cp:lastPrinted>2021-03-26T02:16:00Z</cp:lastPrinted>
  <dcterms:created xsi:type="dcterms:W3CDTF">2021-04-15T23:50:00Z</dcterms:created>
  <dcterms:modified xsi:type="dcterms:W3CDTF">2021-05-13T06:52:00Z</dcterms:modified>
</cp:coreProperties>
</file>